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b/>
          <w:bCs/>
          <w:sz w:val="32"/>
          <w:szCs w:val="32"/>
          <w:lang w:val="en-US"/>
        </w:rPr>
        <w:t>2021</w:t>
      </w:r>
      <w:r>
        <w:rPr>
          <w:rFonts w:hint="eastAsia"/>
          <w:b/>
          <w:bCs/>
          <w:sz w:val="32"/>
          <w:szCs w:val="32"/>
          <w:lang w:val="en-US" w:eastAsia="zh-CN"/>
        </w:rPr>
        <w:t>年中考语文试卷现代文阅读分析与建议</w:t>
      </w:r>
    </w:p>
    <w:p>
      <w:pPr>
        <w:keepNext w:val="0"/>
        <w:keepLines w:val="0"/>
        <w:pageBreakBefore w:val="0"/>
        <w:numPr>
          <w:ilvl w:val="0"/>
          <w:numId w:val="0"/>
        </w:numPr>
        <w:kinsoku/>
        <w:wordWrap/>
        <w:overflowPunct/>
        <w:topLinePunct w:val="0"/>
        <w:autoSpaceDE/>
        <w:autoSpaceDN/>
        <w:bidi w:val="0"/>
        <w:adjustRightInd/>
        <w:snapToGrid/>
        <w:spacing w:line="360" w:lineRule="auto"/>
        <w:jc w:val="right"/>
        <w:rPr>
          <w:rFonts w:hint="eastAsia" w:ascii="华文行楷" w:hAnsi="华文行楷" w:eastAsia="华文行楷" w:cs="华文行楷"/>
          <w:b/>
          <w:bCs/>
          <w:sz w:val="32"/>
          <w:szCs w:val="32"/>
          <w:lang w:val="en-US" w:eastAsia="zh-CN"/>
        </w:rPr>
      </w:pPr>
      <w:r>
        <w:rPr>
          <w:rFonts w:hint="eastAsia" w:ascii="华文行楷" w:hAnsi="华文行楷" w:eastAsia="华文行楷" w:cs="华文行楷"/>
          <w:sz w:val="32"/>
          <w:szCs w:val="32"/>
          <w:lang w:val="en-US" w:eastAsia="zh-CN"/>
        </w:rPr>
        <w:t>江油实验学校：谢东升</w:t>
      </w: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一、“现代文”试卷结构</w:t>
      </w: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近五年“现代文”阅读试题：</w:t>
      </w:r>
      <w:bookmarkStart w:id="0" w:name="_GoBack"/>
      <w:bookmarkEnd w:id="0"/>
    </w:p>
    <w:tbl>
      <w:tblPr>
        <w:tblStyle w:val="2"/>
        <w:tblW w:w="7992" w:type="dxa"/>
        <w:jc w:val="center"/>
        <w:shd w:val="clear" w:color="auto" w:fill="auto"/>
        <w:tblLayout w:type="fixed"/>
        <w:tblCellMar>
          <w:top w:w="0" w:type="dxa"/>
          <w:left w:w="108" w:type="dxa"/>
          <w:bottom w:w="0" w:type="dxa"/>
          <w:right w:w="108" w:type="dxa"/>
        </w:tblCellMar>
      </w:tblPr>
      <w:tblGrid>
        <w:gridCol w:w="963"/>
        <w:gridCol w:w="3309"/>
        <w:gridCol w:w="3720"/>
      </w:tblGrid>
      <w:tr>
        <w:tblPrEx>
          <w:tblCellMar>
            <w:top w:w="0" w:type="dxa"/>
            <w:left w:w="108" w:type="dxa"/>
            <w:bottom w:w="0" w:type="dxa"/>
            <w:right w:w="108" w:type="dxa"/>
          </w:tblCellMar>
        </w:tblPrEx>
        <w:trPr>
          <w:trHeight w:val="288" w:hRule="atLeast"/>
          <w:jc w:val="center"/>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年份</w:t>
            </w:r>
          </w:p>
        </w:tc>
        <w:tc>
          <w:tcPr>
            <w:tcW w:w="3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阅读（一）</w:t>
            </w:r>
          </w:p>
        </w:tc>
        <w:tc>
          <w:tcPr>
            <w:tcW w:w="3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阅读（二）</w:t>
            </w:r>
          </w:p>
        </w:tc>
      </w:tr>
      <w:tr>
        <w:tblPrEx>
          <w:tblCellMar>
            <w:top w:w="0" w:type="dxa"/>
            <w:left w:w="108" w:type="dxa"/>
            <w:bottom w:w="0" w:type="dxa"/>
            <w:right w:w="108" w:type="dxa"/>
          </w:tblCellMar>
        </w:tblPrEx>
        <w:trPr>
          <w:trHeight w:val="551" w:hRule="atLeast"/>
          <w:jc w:val="center"/>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2017</w:t>
            </w: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抒情散文《故乡》（梁孟伟）</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说明文《绿豆那些事儿》</w:t>
            </w:r>
          </w:p>
        </w:tc>
      </w:tr>
      <w:tr>
        <w:tblPrEx>
          <w:tblCellMar>
            <w:top w:w="0" w:type="dxa"/>
            <w:left w:w="108" w:type="dxa"/>
            <w:bottom w:w="0" w:type="dxa"/>
            <w:right w:w="108" w:type="dxa"/>
          </w:tblCellMar>
        </w:tblPrEx>
        <w:trPr>
          <w:trHeight w:val="515" w:hRule="atLeast"/>
          <w:jc w:val="center"/>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2018</w:t>
            </w: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小说《你慢点儿走》</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说明文《贪吃的大脑》</w:t>
            </w:r>
          </w:p>
        </w:tc>
      </w:tr>
      <w:tr>
        <w:tblPrEx>
          <w:shd w:val="clear" w:color="auto" w:fill="auto"/>
          <w:tblCellMar>
            <w:top w:w="0" w:type="dxa"/>
            <w:left w:w="108" w:type="dxa"/>
            <w:bottom w:w="0" w:type="dxa"/>
            <w:right w:w="108" w:type="dxa"/>
          </w:tblCellMar>
        </w:tblPrEx>
        <w:trPr>
          <w:trHeight w:val="524" w:hRule="atLeast"/>
          <w:jc w:val="center"/>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2019</w:t>
            </w: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小说《红岩》（节选）</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议论文《让公众感受历史的魅力》</w:t>
            </w:r>
          </w:p>
        </w:tc>
      </w:tr>
      <w:tr>
        <w:tblPrEx>
          <w:tblCellMar>
            <w:top w:w="0" w:type="dxa"/>
            <w:left w:w="108" w:type="dxa"/>
            <w:bottom w:w="0" w:type="dxa"/>
            <w:right w:w="108" w:type="dxa"/>
          </w:tblCellMar>
        </w:tblPrEx>
        <w:trPr>
          <w:trHeight w:val="600" w:hRule="atLeast"/>
          <w:jc w:val="center"/>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2020</w:t>
            </w: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散文《春天的胡杨林》</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说明文《你不知道的烟草真相》</w:t>
            </w:r>
          </w:p>
        </w:tc>
      </w:tr>
      <w:tr>
        <w:tblPrEx>
          <w:tblCellMar>
            <w:top w:w="0" w:type="dxa"/>
            <w:left w:w="108" w:type="dxa"/>
            <w:bottom w:w="0" w:type="dxa"/>
            <w:right w:w="108" w:type="dxa"/>
          </w:tblCellMar>
        </w:tblPrEx>
        <w:trPr>
          <w:trHeight w:val="432" w:hRule="atLeast"/>
          <w:jc w:val="center"/>
        </w:trPr>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2021</w:t>
            </w:r>
          </w:p>
        </w:tc>
        <w:tc>
          <w:tcPr>
            <w:tcW w:w="3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散文《高山远鼓》</w:t>
            </w:r>
          </w:p>
        </w:tc>
        <w:tc>
          <w:tcPr>
            <w:tcW w:w="3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议论文《童趣，儿童剧必不可少的元素》</w:t>
            </w:r>
          </w:p>
        </w:tc>
      </w:tr>
    </w:tbl>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包括文学类文本阅读、实用类文本阅读、论述类文本阅读等，8题左右（实7），约32分。</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文学类文本阅读</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阅读鉴赏中外文学作品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了解小说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散文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诗歌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戏剧等文学体裁的基本特征及主要表现手法，阅读鉴赏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应注重价值判断和审美体验，感受</w:t>
      </w:r>
      <w:r>
        <w:rPr>
          <w:rFonts w:hint="eastAsia" w:asciiTheme="minorEastAsia" w:hAnsiTheme="minorEastAsia" w:eastAsiaTheme="minorEastAsia" w:cstheme="minorEastAsia"/>
          <w:sz w:val="24"/>
          <w:szCs w:val="24"/>
          <w:lang w:eastAsia="zh-CN"/>
        </w:rPr>
        <w:t>形</w:t>
      </w:r>
      <w:r>
        <w:rPr>
          <w:rFonts w:hint="eastAsia" w:asciiTheme="minorEastAsia" w:hAnsiTheme="minorEastAsia" w:eastAsiaTheme="minorEastAsia" w:cstheme="minorEastAsia"/>
          <w:sz w:val="24"/>
          <w:szCs w:val="24"/>
        </w:rPr>
        <w:t>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品味语言</w:t>
      </w:r>
      <w:r>
        <w:rPr>
          <w:rFonts w:hint="eastAsia" w:asciiTheme="minorEastAsia" w:hAnsiTheme="minorEastAsia" w:eastAsiaTheme="minorEastAsia" w:cstheme="minorEastAsia"/>
          <w:sz w:val="24"/>
          <w:szCs w:val="24"/>
          <w:lang w:eastAsia="zh-CN"/>
        </w:rPr>
        <w:t>，领悟</w:t>
      </w:r>
      <w:r>
        <w:rPr>
          <w:rFonts w:hint="eastAsia" w:asciiTheme="minorEastAsia" w:hAnsiTheme="minorEastAsia" w:eastAsiaTheme="minorEastAsia" w:cstheme="minorEastAsia"/>
          <w:sz w:val="24"/>
          <w:szCs w:val="24"/>
        </w:rPr>
        <w:t>内涵</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分析艺术表现力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理解作品反映的社会生活和情感世界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探索作品蕴涵的民族心理和人文精神。</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能力层级：理解、分析综合、鉴赏评价、探究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论述类文本阅读</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阅读中外论述</w:t>
      </w:r>
      <w:r>
        <w:rPr>
          <w:rFonts w:hint="eastAsia" w:asciiTheme="minorEastAsia" w:hAnsiTheme="minorEastAsia" w:eastAsiaTheme="minorEastAsia" w:cstheme="minorEastAsia"/>
          <w:sz w:val="24"/>
          <w:szCs w:val="24"/>
          <w:lang w:eastAsia="zh-CN"/>
        </w:rPr>
        <w:t>类</w:t>
      </w:r>
      <w:r>
        <w:rPr>
          <w:rFonts w:hint="eastAsia" w:asciiTheme="minorEastAsia" w:hAnsiTheme="minorEastAsia" w:eastAsiaTheme="minorEastAsia" w:cstheme="minorEastAsia"/>
          <w:sz w:val="24"/>
          <w:szCs w:val="24"/>
        </w:rPr>
        <w:t>文本</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了解政论文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学术论文</w:t>
      </w:r>
      <w:r>
        <w:rPr>
          <w:rFonts w:hint="eastAsia" w:asciiTheme="minorEastAsia" w:hAnsiTheme="minorEastAsia" w:eastAsiaTheme="minorEastAsia" w:cstheme="minorEastAsia"/>
          <w:sz w:val="24"/>
          <w:szCs w:val="24"/>
          <w:lang w:eastAsia="zh-CN"/>
        </w:rPr>
        <w:t>、时评、</w:t>
      </w:r>
      <w:r>
        <w:rPr>
          <w:rFonts w:hint="eastAsia" w:asciiTheme="minorEastAsia" w:hAnsiTheme="minorEastAsia" w:eastAsiaTheme="minorEastAsia" w:cstheme="minorEastAsia"/>
          <w:sz w:val="24"/>
          <w:szCs w:val="24"/>
        </w:rPr>
        <w:t>书评等论述类文本的基本特征和主要表达方式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阅读论述类文本，</w:t>
      </w:r>
      <w:r>
        <w:rPr>
          <w:rFonts w:hint="eastAsia" w:asciiTheme="minorEastAsia" w:hAnsiTheme="minorEastAsia" w:eastAsiaTheme="minorEastAsia" w:cstheme="minorEastAsia"/>
          <w:sz w:val="24"/>
          <w:szCs w:val="24"/>
          <w:lang w:eastAsia="zh-CN"/>
        </w:rPr>
        <w:t>应注重</w:t>
      </w:r>
      <w:r>
        <w:rPr>
          <w:rFonts w:hint="eastAsia" w:asciiTheme="minorEastAsia" w:hAnsiTheme="minorEastAsia" w:eastAsiaTheme="minorEastAsia" w:cstheme="minorEastAsia"/>
          <w:sz w:val="24"/>
          <w:szCs w:val="24"/>
        </w:rPr>
        <w:t>文本的说理性和逻辑性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分析文本的论点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论据和论证方法</w:t>
      </w:r>
      <w:r>
        <w:rPr>
          <w:rFonts w:hint="eastAsia" w:asciiTheme="minorEastAsia" w:hAnsiTheme="minorEastAsia" w:eastAsiaTheme="minorEastAsia" w:cstheme="minorEastAsia"/>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能力层级：理解、分析综合</w:t>
      </w: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实用类文本阅读</w:t>
      </w: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阅读评价中外实用类文本</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了解新闻</w:t>
      </w:r>
      <w:r>
        <w:rPr>
          <w:rFonts w:hint="eastAsia" w:asciiTheme="minorEastAsia" w:hAnsiTheme="minorEastAsia" w:eastAsiaTheme="minorEastAsia" w:cstheme="minorEastAsia"/>
          <w:sz w:val="24"/>
          <w:szCs w:val="24"/>
          <w:lang w:eastAsia="zh-CN"/>
        </w:rPr>
        <w:t>、传记、</w:t>
      </w:r>
      <w:r>
        <w:rPr>
          <w:rFonts w:hint="eastAsia" w:asciiTheme="minorEastAsia" w:hAnsiTheme="minorEastAsia" w:eastAsiaTheme="minorEastAsia" w:cstheme="minorEastAsia"/>
          <w:sz w:val="24"/>
          <w:szCs w:val="24"/>
        </w:rPr>
        <w:t>报告</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科普文章的文体基本特征和主要表现手法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阅读实用类文本</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应注重真实性和实用性，准确解读文本</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筛选整合信息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分析</w:t>
      </w:r>
      <w:r>
        <w:rPr>
          <w:rFonts w:hint="eastAsia" w:asciiTheme="minorEastAsia" w:hAnsiTheme="minorEastAsia" w:eastAsiaTheme="minorEastAsia" w:cstheme="minorEastAsia"/>
          <w:sz w:val="24"/>
          <w:szCs w:val="24"/>
          <w:lang w:eastAsia="zh-CN"/>
        </w:rPr>
        <w:t>思想</w:t>
      </w:r>
      <w:r>
        <w:rPr>
          <w:rFonts w:hint="eastAsia" w:asciiTheme="minorEastAsia" w:hAnsiTheme="minorEastAsia" w:eastAsiaTheme="minorEastAsia" w:cstheme="minorEastAsia"/>
          <w:sz w:val="24"/>
          <w:szCs w:val="24"/>
        </w:rPr>
        <w:t>内容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构成要素和语言特色</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评价文本产生的社会功用，探讨文本反映的人文价值和时代精神。</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能力层级：理解、分析综合、鉴赏评价、探究</w:t>
      </w: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二、2021现代文阅读试题分析</w:t>
      </w: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（一）总体特点：</w:t>
      </w:r>
      <w:r>
        <w:rPr>
          <w:rFonts w:hint="eastAsia" w:asciiTheme="minorEastAsia" w:hAnsiTheme="minorEastAsia" w:eastAsiaTheme="minorEastAsia" w:cstheme="minorEastAsia"/>
          <w:sz w:val="24"/>
          <w:szCs w:val="24"/>
          <w:lang w:val="en-US" w:eastAsia="zh-CN"/>
        </w:rPr>
        <w:t>和高考接轨紧密，注重学科素养和能力考查，教学导向明确。</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（二）第一篇《高山远鼓》</w:t>
      </w:r>
      <w:r>
        <w:rPr>
          <w:rFonts w:hint="eastAsia" w:asciiTheme="minorEastAsia" w:hAnsiTheme="minorEastAsia" w:eastAsiaTheme="minorEastAsia" w:cstheme="minorEastAsia"/>
          <w:sz w:val="24"/>
          <w:szCs w:val="24"/>
          <w:lang w:val="en-US" w:eastAsia="zh-CN"/>
        </w:rPr>
        <w:t>。文字较多，阅读量大，内容涉及革命文化题材，回忆了“万源保卫战”、“人民公社”、“联产承包责任制”等，又能紧贴时代（如“脱贫致富”“党群服务中心广场”等），而且文字有深度，阅读颇有难度。共设计一道选择题和三道问答题。</w:t>
      </w: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drawing>
          <wp:anchor distT="0" distB="0" distL="114300" distR="114300" simplePos="0" relativeHeight="251659264" behindDoc="1" locked="0" layoutInCell="1" allowOverlap="1">
            <wp:simplePos x="0" y="0"/>
            <wp:positionH relativeFrom="column">
              <wp:posOffset>1146810</wp:posOffset>
            </wp:positionH>
            <wp:positionV relativeFrom="paragraph">
              <wp:posOffset>1633855</wp:posOffset>
            </wp:positionV>
            <wp:extent cx="4152900" cy="2162175"/>
            <wp:effectExtent l="0" t="0" r="7620" b="0"/>
            <wp:wrapTight wrapText="bothSides">
              <wp:wrapPolygon>
                <wp:start x="0" y="0"/>
                <wp:lineTo x="0" y="21467"/>
                <wp:lineTo x="21560" y="21467"/>
                <wp:lineTo x="21560" y="0"/>
                <wp:lineTo x="0" y="0"/>
              </wp:wrapPolygon>
            </wp:wrapTight>
            <wp:docPr id="1" name="图片 1"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1"/>
                    <pic:cNvPicPr>
                      <a:picLocks noChangeAspect="1"/>
                    </pic:cNvPicPr>
                  </pic:nvPicPr>
                  <pic:blipFill>
                    <a:blip r:embed="rId4"/>
                    <a:stretch>
                      <a:fillRect/>
                    </a:stretch>
                  </pic:blipFill>
                  <pic:spPr>
                    <a:xfrm>
                      <a:off x="0" y="0"/>
                      <a:ext cx="4152900" cy="2162175"/>
                    </a:xfrm>
                    <a:prstGeom prst="rect">
                      <a:avLst/>
                    </a:prstGeom>
                  </pic:spPr>
                </pic:pic>
              </a:graphicData>
            </a:graphic>
          </wp:anchor>
        </w:drawing>
      </w:r>
      <w:r>
        <w:rPr>
          <w:rFonts w:hint="eastAsia" w:asciiTheme="minorEastAsia" w:hAnsiTheme="minorEastAsia" w:eastAsiaTheme="minorEastAsia" w:cstheme="minorEastAsia"/>
          <w:sz w:val="24"/>
          <w:szCs w:val="24"/>
          <w:lang w:val="en-US" w:eastAsia="zh-CN"/>
        </w:rPr>
        <w:t>1. 13题针对文章内容和表现手法的分析做选择。表现手法考查到了修辞、对比和虚实结合，内容上考查到了环境描写的作用及人物情感。本题目一反平时练习中的可以从原文的原句找到答案或者答案的暗示，原文读懂之后还需要结合生活实际进行推断，真正深入理解体会，同时需要把理解上升到定的高度才能够比较顺利地答出答案，避免部分学生依靠平时老师的答题模式而不认真阅读原文的情况。</w:t>
      </w: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 14题就文中的一句话，考察人物复杂情愫。学生在解答时须在文本中勾画出原句，老首长是在“回首那场历时近一年的血腥战役”时流露出的复杂情愫，针对性很强，应解读出老首长对红军战士，对老百姓及战争最终胜利等不同的情愫。</w:t>
      </w: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 15题看似简单，但学生很易忽略题干上“在不同的时代和场合”的限定，答题易出现无条理的现象，从而导致失分。“结合文本”理清时间、场合的变化，牛皮大鼓的作用并不难解。</w:t>
      </w: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 16题考查的是“结合文本”概括文末划线句的作用。这道题在平时阅读理解练习中是常见题型，虽然答案未明确按照内容和结构两部分给分，但我们仍需引导学生从这两个方面思考，力求答案的完整性。</w:t>
      </w: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（二）第二篇《童趣，儿童剧必不可少的元素》</w:t>
      </w:r>
      <w:r>
        <w:rPr>
          <w:rFonts w:hint="eastAsia" w:asciiTheme="minorEastAsia" w:hAnsiTheme="minorEastAsia" w:eastAsiaTheme="minorEastAsia" w:cstheme="minorEastAsia"/>
          <w:sz w:val="24"/>
          <w:szCs w:val="24"/>
          <w:lang w:val="en-US" w:eastAsia="zh-CN"/>
        </w:rPr>
        <w:t>是一篇议论文，论点鲜明，论证思路清晰。所涉三道题考查的都是对文本的解读，弱化了议论文的文体知识，考查更倾向于对文本内容的提炼和理解。</w:t>
      </w: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drawing>
          <wp:anchor distT="0" distB="0" distL="114300" distR="114300" simplePos="0" relativeHeight="251660288" behindDoc="0" locked="0" layoutInCell="1" allowOverlap="1">
            <wp:simplePos x="0" y="0"/>
            <wp:positionH relativeFrom="column">
              <wp:posOffset>107315</wp:posOffset>
            </wp:positionH>
            <wp:positionV relativeFrom="paragraph">
              <wp:posOffset>70485</wp:posOffset>
            </wp:positionV>
            <wp:extent cx="5269230" cy="1996440"/>
            <wp:effectExtent l="0" t="0" r="3810" b="0"/>
            <wp:wrapTopAndBottom/>
            <wp:docPr id="2" name="图片 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2"/>
                    <pic:cNvPicPr>
                      <a:picLocks noChangeAspect="1"/>
                    </pic:cNvPicPr>
                  </pic:nvPicPr>
                  <pic:blipFill>
                    <a:blip r:embed="rId5"/>
                    <a:stretch>
                      <a:fillRect/>
                    </a:stretch>
                  </pic:blipFill>
                  <pic:spPr>
                    <a:xfrm>
                      <a:off x="0" y="0"/>
                      <a:ext cx="5269230" cy="1996440"/>
                    </a:xfrm>
                    <a:prstGeom prst="rect">
                      <a:avLst/>
                    </a:prstGeom>
                  </pic:spPr>
                </pic:pic>
              </a:graphicData>
            </a:graphic>
          </wp:anchor>
        </w:drawing>
      </w:r>
      <w:r>
        <w:rPr>
          <w:rFonts w:hint="eastAsia" w:asciiTheme="minorEastAsia" w:hAnsiTheme="minorEastAsia" w:eastAsiaTheme="minorEastAsia" w:cstheme="minorEastAsia"/>
          <w:sz w:val="24"/>
          <w:szCs w:val="24"/>
          <w:lang w:val="en-US" w:eastAsia="zh-CN"/>
        </w:rPr>
        <w:t>1.17题题型改为选择题。考查的是对文章内容理解和分析。四个选项的内容与在文中呈现的内容是有变化的，两相对比，关注细微的用词是答题的关键。</w:t>
      </w: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2.18题和19题都要求根据全文内容简要概括或回答，考查的是对文本信息的提炼。18题所设问题可在文本的第三段和第四段寻找出三点答案，难度不算大。19题所设问题范围较大，需结合全文从三个角度思考，学生可能很难从整体把握。</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三、今后命题的一些不成熟建议：</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（一）选材继续关注革命文化和社会主义先进文化的内容题材；</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（二）立足学生的普遍生活体验设置问题，不超出学生认知范围（特别</w:t>
      </w:r>
    </w:p>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是革命文化）；</w:t>
      </w:r>
    </w:p>
    <w:p>
      <w:pPr>
        <w:keepNext w:val="0"/>
        <w:keepLines w:val="0"/>
        <w:pageBreakBefore w:val="0"/>
        <w:numPr>
          <w:ilvl w:val="0"/>
          <w:numId w:val="1"/>
        </w:numPr>
        <w:kinsoku/>
        <w:wordWrap/>
        <w:overflowPunct/>
        <w:topLinePunct w:val="0"/>
        <w:autoSpaceDE/>
        <w:autoSpaceDN/>
        <w:bidi w:val="0"/>
        <w:adjustRightInd/>
        <w:snapToGrid/>
        <w:spacing w:line="36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对于赏析题还可以增加一些形式，分值还可以适当增加一些，可以引导老师教学中引导学生体会对“优美”的表达的理解和体悟，我们知道我们引导学生学习的最终目的还是经让学生学会这些表达的技巧，可以运用到自己的习作中去，如果分值太少，会不会让老师对这方面的教学会轻视。</w:t>
      </w:r>
    </w:p>
    <w:p>
      <w:pPr>
        <w:keepNext w:val="0"/>
        <w:keepLines w:val="0"/>
        <w:pageBreakBefore w:val="0"/>
        <w:numPr>
          <w:numId w:val="0"/>
        </w:numPr>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sz w:val="24"/>
          <w:szCs w:val="24"/>
          <w:lang w:val="en-US" w:eastAsia="zh-CN"/>
        </w:rPr>
      </w:pPr>
    </w:p>
    <w:p>
      <w:pPr>
        <w:keepNext w:val="0"/>
        <w:keepLines w:val="0"/>
        <w:pageBreakBefore w:val="0"/>
        <w:numPr>
          <w:numId w:val="0"/>
        </w:numPr>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firstLineChars="200"/>
        <w:rPr>
          <w:rFonts w:hint="eastAsia" w:asciiTheme="minorEastAsia" w:hAnsiTheme="minorEastAsia" w:eastAsiaTheme="minorEastAsia" w:cstheme="minorEastAsia"/>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39D4E6"/>
    <w:multiLevelType w:val="singleLevel"/>
    <w:tmpl w:val="FA39D4E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046795A"/>
    <w:rsid w:val="1B2F6044"/>
    <w:rsid w:val="28594AD2"/>
    <w:rsid w:val="2A630115"/>
    <w:rsid w:val="2D7C5DED"/>
    <w:rsid w:val="32E40227"/>
    <w:rsid w:val="34323AC9"/>
    <w:rsid w:val="6E1B5A78"/>
    <w:rsid w:val="797E7A03"/>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782</Words>
  <Characters>797</Characters>
  <Paragraphs>11</Paragraphs>
  <TotalTime>0</TotalTime>
  <ScaleCrop>false</ScaleCrop>
  <LinksUpToDate>false</LinksUpToDate>
  <CharactersWithSpaces>819</CharactersWithSpaces>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2021-09-12T11:17:00Z</dcterms:created>
  <dc:creator>CDY-TN90</dc:creator>
  <cp:lastModifiedBy>小新14</cp:lastModifiedBy>
  <cp:lastPrinted>2021-09-14T01:44:00Z</cp:lastPrinted>
  <dcterms:modified xsi:type="dcterms:W3CDTF">2021-09-16T10:06:56Z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92B05FC5187C4185856E845A7598478F</vt:lpwstr>
  </property>
  <property fmtid="{D5CDD505-2E9C-101B-9397-08002B2CF9AE}" pid="3" name="KSOProductBuildVer">
    <vt:lpwstr>2052-11.1.0.10700</vt:lpwstr>
  </property>
</Properties>
</file>